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02A" w:rsidRPr="0086602A" w:rsidRDefault="0086602A" w:rsidP="0086602A">
      <w:pPr>
        <w:autoSpaceDE w:val="0"/>
        <w:autoSpaceDN w:val="0"/>
        <w:adjustRightInd w:val="0"/>
        <w:contextualSpacing/>
        <w:rPr>
          <w:rFonts w:ascii="Calibri" w:hAnsi="Calibri" w:cs="Calibri"/>
          <w:b/>
          <w:sz w:val="22"/>
          <w:szCs w:val="22"/>
        </w:rPr>
      </w:pPr>
      <w:r>
        <w:rPr>
          <w:rFonts w:ascii="Calibri" w:hAnsi="Calibri" w:cs="Calibri"/>
          <w:b/>
          <w:sz w:val="22"/>
          <w:szCs w:val="22"/>
          <w:lang w:val="en-US"/>
        </w:rPr>
        <w:t>Al</w:t>
      </w:r>
      <w:r w:rsidRPr="0086602A">
        <w:rPr>
          <w:rFonts w:ascii="Calibri" w:hAnsi="Calibri" w:cs="Calibri"/>
          <w:b/>
          <w:sz w:val="22"/>
          <w:szCs w:val="22"/>
        </w:rPr>
        <w:t xml:space="preserve">gemene voorwaarden The Privacy </w:t>
      </w:r>
      <w:proofErr w:type="spellStart"/>
      <w:r w:rsidRPr="0086602A">
        <w:rPr>
          <w:rFonts w:ascii="Calibri" w:hAnsi="Calibri" w:cs="Calibri"/>
          <w:b/>
          <w:sz w:val="22"/>
          <w:szCs w:val="22"/>
        </w:rPr>
        <w:t>Organization</w:t>
      </w:r>
      <w:proofErr w:type="spellEnd"/>
    </w:p>
    <w:p w:rsidR="0086602A" w:rsidRPr="0086602A" w:rsidRDefault="0086602A" w:rsidP="0086602A">
      <w:pPr>
        <w:autoSpaceDE w:val="0"/>
        <w:autoSpaceDN w:val="0"/>
        <w:adjustRightInd w:val="0"/>
        <w:contextualSpacing/>
        <w:rPr>
          <w:rFonts w:ascii="Calibri" w:hAnsi="Calibri" w:cs="Calibri"/>
          <w:sz w:val="22"/>
          <w:szCs w:val="22"/>
        </w:rPr>
      </w:pPr>
    </w:p>
    <w:p w:rsidR="0086602A" w:rsidRPr="0086602A" w:rsidRDefault="0086602A" w:rsidP="0086602A">
      <w:pPr>
        <w:autoSpaceDE w:val="0"/>
        <w:autoSpaceDN w:val="0"/>
        <w:adjustRightInd w:val="0"/>
        <w:contextualSpacing/>
        <w:rPr>
          <w:rFonts w:ascii="Calibri" w:hAnsi="Calibri" w:cs="Calibri"/>
          <w:sz w:val="22"/>
          <w:szCs w:val="22"/>
        </w:rPr>
      </w:pPr>
      <w:r w:rsidRPr="0086602A">
        <w:rPr>
          <w:rFonts w:ascii="Calibri" w:hAnsi="Calibri" w:cs="Calibri"/>
          <w:sz w:val="22"/>
          <w:szCs w:val="22"/>
        </w:rPr>
        <w:t xml:space="preserve">Laatste wijziging: </w:t>
      </w:r>
      <w:r w:rsidR="008C0849">
        <w:rPr>
          <w:rFonts w:ascii="Calibri" w:hAnsi="Calibri" w:cs="Calibri"/>
          <w:sz w:val="22"/>
          <w:szCs w:val="22"/>
        </w:rPr>
        <w:t xml:space="preserve">maart </w:t>
      </w:r>
      <w:r w:rsidRPr="0086602A">
        <w:rPr>
          <w:rFonts w:ascii="Calibri" w:hAnsi="Calibri" w:cs="Calibri"/>
          <w:sz w:val="22"/>
          <w:szCs w:val="22"/>
        </w:rPr>
        <w:t>2019</w:t>
      </w:r>
    </w:p>
    <w:p w:rsidR="0086602A" w:rsidRPr="0086602A" w:rsidRDefault="0086602A" w:rsidP="0086602A">
      <w:pPr>
        <w:autoSpaceDE w:val="0"/>
        <w:autoSpaceDN w:val="0"/>
        <w:adjustRightInd w:val="0"/>
        <w:contextualSpacing/>
        <w:rPr>
          <w:rFonts w:ascii="Calibri" w:hAnsi="Calibri" w:cs="Calibri"/>
          <w:sz w:val="22"/>
          <w:szCs w:val="22"/>
        </w:rPr>
      </w:pPr>
    </w:p>
    <w:p w:rsidR="00641F8E" w:rsidRPr="0086602A" w:rsidRDefault="00641F8E" w:rsidP="0086602A">
      <w:pPr>
        <w:autoSpaceDE w:val="0"/>
        <w:autoSpaceDN w:val="0"/>
        <w:adjustRightInd w:val="0"/>
        <w:contextualSpacing/>
        <w:rPr>
          <w:rFonts w:ascii="Calibri" w:hAnsi="Calibri" w:cs="Calibri"/>
          <w:b/>
          <w:sz w:val="22"/>
          <w:szCs w:val="22"/>
        </w:rPr>
      </w:pPr>
      <w:r w:rsidRPr="0086602A">
        <w:rPr>
          <w:rFonts w:ascii="Calibri" w:hAnsi="Calibri" w:cs="Calibri"/>
          <w:b/>
          <w:sz w:val="22"/>
          <w:szCs w:val="22"/>
        </w:rPr>
        <w:t>Artikel 1</w:t>
      </w:r>
      <w:r w:rsidR="0086602A" w:rsidRPr="0086602A">
        <w:rPr>
          <w:rFonts w:ascii="Calibri" w:hAnsi="Calibri" w:cs="Calibri"/>
          <w:b/>
          <w:sz w:val="22"/>
          <w:szCs w:val="22"/>
        </w:rPr>
        <w:t xml:space="preserve"> Algemeen</w:t>
      </w:r>
    </w:p>
    <w:p w:rsidR="0086602A" w:rsidRPr="0086602A" w:rsidRDefault="00641F8E" w:rsidP="0086602A">
      <w:pPr>
        <w:pStyle w:val="ListParagraph"/>
        <w:numPr>
          <w:ilvl w:val="0"/>
          <w:numId w:val="1"/>
        </w:numPr>
        <w:autoSpaceDE w:val="0"/>
        <w:autoSpaceDN w:val="0"/>
        <w:adjustRightInd w:val="0"/>
        <w:rPr>
          <w:rFonts w:ascii="Calibri" w:hAnsi="Calibri" w:cs="Calibri"/>
          <w:sz w:val="22"/>
          <w:szCs w:val="22"/>
        </w:rPr>
      </w:pPr>
      <w:r w:rsidRPr="0086602A">
        <w:rPr>
          <w:rFonts w:ascii="Calibri" w:hAnsi="Calibri" w:cs="Calibri"/>
          <w:sz w:val="22"/>
          <w:szCs w:val="22"/>
        </w:rPr>
        <w:t xml:space="preserve">Deze </w:t>
      </w:r>
      <w:r w:rsidR="0086602A" w:rsidRPr="0086602A">
        <w:rPr>
          <w:rFonts w:ascii="Calibri" w:hAnsi="Calibri" w:cs="Calibri"/>
          <w:sz w:val="22"/>
          <w:szCs w:val="22"/>
        </w:rPr>
        <w:t xml:space="preserve">algemene </w:t>
      </w:r>
      <w:r w:rsidRPr="0086602A">
        <w:rPr>
          <w:rFonts w:ascii="Calibri" w:hAnsi="Calibri" w:cs="Calibri"/>
          <w:sz w:val="22"/>
          <w:szCs w:val="22"/>
        </w:rPr>
        <w:t xml:space="preserve">voorwaarden zijn </w:t>
      </w:r>
      <w:r w:rsidR="0086602A" w:rsidRPr="0086602A">
        <w:rPr>
          <w:rFonts w:ascii="Calibri" w:hAnsi="Calibri" w:cs="Calibri"/>
          <w:sz w:val="22"/>
          <w:szCs w:val="22"/>
        </w:rPr>
        <w:t xml:space="preserve">van </w:t>
      </w:r>
      <w:r w:rsidRPr="0086602A">
        <w:rPr>
          <w:rFonts w:ascii="Calibri" w:hAnsi="Calibri" w:cs="Calibri"/>
          <w:sz w:val="22"/>
          <w:szCs w:val="22"/>
        </w:rPr>
        <w:t xml:space="preserve">toepassing op alle aanbiedingen van The Privacy </w:t>
      </w:r>
      <w:proofErr w:type="spellStart"/>
      <w:r w:rsidRPr="0086602A">
        <w:rPr>
          <w:rFonts w:ascii="Calibri" w:hAnsi="Calibri" w:cs="Calibri"/>
          <w:sz w:val="22"/>
          <w:szCs w:val="22"/>
        </w:rPr>
        <w:t>Organiaztion</w:t>
      </w:r>
      <w:proofErr w:type="spellEnd"/>
      <w:r w:rsidRPr="0086602A">
        <w:rPr>
          <w:rFonts w:ascii="Calibri" w:hAnsi="Calibri" w:cs="Calibri"/>
          <w:sz w:val="22"/>
          <w:szCs w:val="22"/>
        </w:rPr>
        <w:t xml:space="preserve">, op alle overeenkomsten die worden gesloten tussen The Privacy </w:t>
      </w:r>
      <w:proofErr w:type="spellStart"/>
      <w:r w:rsidRPr="0086602A">
        <w:rPr>
          <w:rFonts w:ascii="Calibri" w:hAnsi="Calibri" w:cs="Calibri"/>
          <w:sz w:val="22"/>
          <w:szCs w:val="22"/>
        </w:rPr>
        <w:t>Organization</w:t>
      </w:r>
      <w:proofErr w:type="spellEnd"/>
      <w:r w:rsidRPr="0086602A">
        <w:rPr>
          <w:rFonts w:ascii="Calibri" w:hAnsi="Calibri" w:cs="Calibri"/>
          <w:sz w:val="22"/>
          <w:szCs w:val="22"/>
        </w:rPr>
        <w:t xml:space="preserve"> en opdrachtgever</w:t>
      </w:r>
      <w:r w:rsidR="0086602A" w:rsidRPr="0086602A">
        <w:rPr>
          <w:rFonts w:ascii="Calibri" w:hAnsi="Calibri" w:cs="Calibri"/>
          <w:sz w:val="22"/>
          <w:szCs w:val="22"/>
        </w:rPr>
        <w:t>, evenals op alle (rechts)handelingen ter voorbereiding of ter uitvoering daarvan.</w:t>
      </w:r>
    </w:p>
    <w:p w:rsidR="00641F8E" w:rsidRPr="0086602A" w:rsidRDefault="00641F8E" w:rsidP="0086602A">
      <w:pPr>
        <w:autoSpaceDE w:val="0"/>
        <w:autoSpaceDN w:val="0"/>
        <w:adjustRightInd w:val="0"/>
        <w:contextualSpacing/>
        <w:rPr>
          <w:rFonts w:ascii="Calibri" w:hAnsi="Calibri" w:cs="Calibri"/>
          <w:sz w:val="22"/>
          <w:szCs w:val="22"/>
        </w:rPr>
      </w:pPr>
    </w:p>
    <w:p w:rsidR="0086602A" w:rsidRPr="0086602A" w:rsidRDefault="0086602A" w:rsidP="0086602A">
      <w:pPr>
        <w:shd w:val="clear" w:color="auto" w:fill="FFFFFF"/>
        <w:spacing w:after="375"/>
        <w:contextualSpacing/>
        <w:jc w:val="both"/>
        <w:rPr>
          <w:rFonts w:ascii="Calibri" w:eastAsia="Times New Roman" w:hAnsi="Calibri" w:cs="Calibri"/>
          <w:color w:val="000000"/>
          <w:sz w:val="22"/>
          <w:szCs w:val="22"/>
        </w:rPr>
      </w:pPr>
      <w:r w:rsidRPr="0086602A">
        <w:rPr>
          <w:rFonts w:ascii="Calibri" w:eastAsia="Times New Roman" w:hAnsi="Calibri" w:cs="Calibri"/>
          <w:b/>
          <w:bCs/>
          <w:color w:val="000000"/>
          <w:sz w:val="22"/>
          <w:szCs w:val="22"/>
        </w:rPr>
        <w:t>Artikel 2 Offertes en oriënterende gesprekken</w:t>
      </w:r>
    </w:p>
    <w:p w:rsidR="0086602A" w:rsidRPr="0086602A" w:rsidRDefault="0086602A" w:rsidP="0086602A">
      <w:pPr>
        <w:numPr>
          <w:ilvl w:val="0"/>
          <w:numId w:val="2"/>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Een offerte is vrijblijvend en verplicht opdrachtgever tot niets.</w:t>
      </w:r>
    </w:p>
    <w:p w:rsidR="0086602A" w:rsidRPr="0086602A" w:rsidRDefault="0086602A" w:rsidP="0086602A">
      <w:pPr>
        <w:numPr>
          <w:ilvl w:val="0"/>
          <w:numId w:val="2"/>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Oriënterende communicatie aangaande een potentiele opdracht is vrijblijvend en verplicht de opdrachtgever tot niets.</w:t>
      </w:r>
    </w:p>
    <w:p w:rsidR="0086602A" w:rsidRPr="0086602A" w:rsidRDefault="0086602A" w:rsidP="0086602A">
      <w:pPr>
        <w:numPr>
          <w:ilvl w:val="0"/>
          <w:numId w:val="2"/>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 xml:space="preserve">Een offerte verliest haar geldigheid 30 kalenderdagen na de datum van verzending door 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w:t>
      </w:r>
    </w:p>
    <w:p w:rsidR="0086602A" w:rsidRDefault="0086602A" w:rsidP="0086602A">
      <w:pPr>
        <w:numPr>
          <w:ilvl w:val="0"/>
          <w:numId w:val="2"/>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Na afloop van de geldigheidsduur kunnen geen rechten meer worden ontleend aan de offerte.</w:t>
      </w:r>
    </w:p>
    <w:p w:rsidR="008C0849" w:rsidRPr="0086602A" w:rsidRDefault="008C0849" w:rsidP="008C0849">
      <w:pPr>
        <w:shd w:val="clear" w:color="auto" w:fill="FFFFFF"/>
        <w:spacing w:before="100" w:beforeAutospacing="1" w:after="100" w:afterAutospacing="1"/>
        <w:contextualSpacing/>
        <w:jc w:val="both"/>
        <w:rPr>
          <w:rFonts w:ascii="Calibri" w:eastAsia="Times New Roman" w:hAnsi="Calibri" w:cs="Calibri"/>
          <w:color w:val="000000"/>
          <w:sz w:val="22"/>
          <w:szCs w:val="22"/>
        </w:rPr>
      </w:pPr>
    </w:p>
    <w:p w:rsidR="0086602A" w:rsidRPr="0086602A" w:rsidRDefault="0086602A" w:rsidP="0086602A">
      <w:pPr>
        <w:shd w:val="clear" w:color="auto" w:fill="FFFFFF"/>
        <w:spacing w:after="375"/>
        <w:contextualSpacing/>
        <w:jc w:val="both"/>
        <w:rPr>
          <w:rFonts w:ascii="Calibri" w:eastAsia="Times New Roman" w:hAnsi="Calibri" w:cs="Calibri"/>
          <w:color w:val="000000"/>
          <w:sz w:val="22"/>
          <w:szCs w:val="22"/>
        </w:rPr>
      </w:pPr>
      <w:r w:rsidRPr="0086602A">
        <w:rPr>
          <w:rFonts w:ascii="Calibri" w:eastAsia="Times New Roman" w:hAnsi="Calibri" w:cs="Calibri"/>
          <w:b/>
          <w:bCs/>
          <w:color w:val="000000"/>
          <w:sz w:val="22"/>
          <w:szCs w:val="22"/>
        </w:rPr>
        <w:t>Artikel 3 Aanvaarding van de opdracht</w:t>
      </w:r>
    </w:p>
    <w:p w:rsidR="0086602A" w:rsidRPr="0086602A" w:rsidRDefault="0086602A" w:rsidP="0086602A">
      <w:pPr>
        <w:numPr>
          <w:ilvl w:val="0"/>
          <w:numId w:val="3"/>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 xml:space="preserve">De offerte wordt geacht te zijn aanvaard indien opdrachtgever instemt met de offerte of indien 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redelijkerwijs een gedraging van de opdrachtgever mag aanmerken als instemming (indruk van gewekte instemming).</w:t>
      </w:r>
    </w:p>
    <w:p w:rsidR="0086602A" w:rsidRPr="0086602A" w:rsidRDefault="0086602A" w:rsidP="0086602A">
      <w:pPr>
        <w:numPr>
          <w:ilvl w:val="0"/>
          <w:numId w:val="3"/>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 xml:space="preserve">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behoudt zich het recht voor een opdracht op ieder moment kosteloos te beëindigen indien nieuwe informatie beschikbaar komt die (verdere) uitvoering voor 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onder de overeengekomen omschrijving van opdracht redelijkerwijs onaanvaardbaar maken.</w:t>
      </w:r>
    </w:p>
    <w:p w:rsidR="0086602A" w:rsidRDefault="0086602A" w:rsidP="0086602A">
      <w:pPr>
        <w:numPr>
          <w:ilvl w:val="0"/>
          <w:numId w:val="3"/>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 xml:space="preserve">Na aanvaarding mag de opdracht slechts met instemming van 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worden gewijzigd.</w:t>
      </w:r>
    </w:p>
    <w:p w:rsidR="008C0849" w:rsidRPr="0086602A" w:rsidRDefault="008C0849" w:rsidP="008C0849">
      <w:pPr>
        <w:shd w:val="clear" w:color="auto" w:fill="FFFFFF"/>
        <w:spacing w:before="100" w:beforeAutospacing="1" w:after="100" w:afterAutospacing="1"/>
        <w:contextualSpacing/>
        <w:jc w:val="both"/>
        <w:rPr>
          <w:rFonts w:ascii="Calibri" w:eastAsia="Times New Roman" w:hAnsi="Calibri" w:cs="Calibri"/>
          <w:color w:val="000000"/>
          <w:sz w:val="22"/>
          <w:szCs w:val="22"/>
        </w:rPr>
      </w:pPr>
    </w:p>
    <w:p w:rsidR="0086602A" w:rsidRPr="0086602A" w:rsidRDefault="0086602A" w:rsidP="0086602A">
      <w:pPr>
        <w:shd w:val="clear" w:color="auto" w:fill="FFFFFF"/>
        <w:spacing w:after="375"/>
        <w:contextualSpacing/>
        <w:jc w:val="both"/>
        <w:rPr>
          <w:rFonts w:ascii="Calibri" w:eastAsia="Times New Roman" w:hAnsi="Calibri" w:cs="Calibri"/>
          <w:color w:val="000000"/>
          <w:sz w:val="22"/>
          <w:szCs w:val="22"/>
        </w:rPr>
      </w:pPr>
      <w:r w:rsidRPr="0086602A">
        <w:rPr>
          <w:rFonts w:ascii="Calibri" w:eastAsia="Times New Roman" w:hAnsi="Calibri" w:cs="Calibri"/>
          <w:b/>
          <w:bCs/>
          <w:color w:val="000000"/>
          <w:sz w:val="22"/>
          <w:szCs w:val="22"/>
        </w:rPr>
        <w:t>Artikel 7 Uitvoering van de opdracht</w:t>
      </w:r>
    </w:p>
    <w:p w:rsidR="0086602A" w:rsidRPr="0086602A" w:rsidRDefault="0086602A" w:rsidP="0086602A">
      <w:pPr>
        <w:numPr>
          <w:ilvl w:val="0"/>
          <w:numId w:val="4"/>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 xml:space="preserve">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zal de opdracht naar haar beste inzicht en vermogen en in overeenstemming met de eisen van goed vakmanschap uitvoeren.</w:t>
      </w:r>
    </w:p>
    <w:p w:rsidR="0086602A" w:rsidRPr="0086602A" w:rsidRDefault="0086602A" w:rsidP="0086602A">
      <w:pPr>
        <w:numPr>
          <w:ilvl w:val="0"/>
          <w:numId w:val="4"/>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 xml:space="preserve">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heeft het recht om bepaalde werkzaamheden te laten verrichten door derden, indien en voor zover een goede uitvoering van de opdracht dit vereist. Eventuele hiermee in verband houdende (meer)kosten zijn voor rekening van de opdrachtgever. Dit laatste uiteraard met goedkeuring van de opdrachtgever.</w:t>
      </w:r>
    </w:p>
    <w:p w:rsidR="0086602A" w:rsidRPr="0086602A" w:rsidRDefault="0086602A" w:rsidP="0086602A">
      <w:pPr>
        <w:numPr>
          <w:ilvl w:val="0"/>
          <w:numId w:val="4"/>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Opdrachtgever is gehouden al datgene te doen en te laten wat redelijkerwijs nodig en wenselijk is om een tijdige en juiste uitvoering van de opdracht mogelijk te maken.</w:t>
      </w:r>
    </w:p>
    <w:p w:rsidR="0086602A" w:rsidRPr="0086602A" w:rsidRDefault="0086602A" w:rsidP="0086602A">
      <w:pPr>
        <w:numPr>
          <w:ilvl w:val="0"/>
          <w:numId w:val="4"/>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 xml:space="preserve">Klachten over de uitvoering van de overeenkomst en/of bezwaren tegen facturen dienen binnen twee weken na de factuurdatum schriftelijk te worden voorgelegd aan 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Klachten die worden ingediend of gemaakte bezwaren schorten de betalingsverplichtingen niet op.</w:t>
      </w:r>
    </w:p>
    <w:p w:rsidR="0086602A" w:rsidRPr="0086602A" w:rsidRDefault="0086602A" w:rsidP="0086602A">
      <w:pPr>
        <w:numPr>
          <w:ilvl w:val="0"/>
          <w:numId w:val="4"/>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 xml:space="preserve">Indien opdrachtgever niet binnen een redelijke dan wel de in de offerte omschreven termijn reageert op de concept versie(s) van de opdracht, is 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gerechtigd kosten in rekening te brengen voor het daaruit voortvloeiende meerwerk op basis van haar uurtarief.</w:t>
      </w:r>
    </w:p>
    <w:p w:rsidR="0086602A" w:rsidRPr="0086602A" w:rsidRDefault="0086602A" w:rsidP="0086602A">
      <w:pPr>
        <w:numPr>
          <w:ilvl w:val="0"/>
          <w:numId w:val="4"/>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 xml:space="preserve">Na ontbinding dan wel tussentijdse beëindiging door opdrachtgever is 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niet verplicht enige tot dan toe vervaardigde materialen of adviezen aan opdrachtgever of wie dan ook te verstrekken.</w:t>
      </w:r>
    </w:p>
    <w:p w:rsidR="0086602A" w:rsidRDefault="0086602A" w:rsidP="0086602A">
      <w:pPr>
        <w:numPr>
          <w:ilvl w:val="0"/>
          <w:numId w:val="4"/>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Artikel 7:404 en 7:407 lid 2 BW zijn niet van toepassing op de uitvoering van de opdracht.</w:t>
      </w:r>
    </w:p>
    <w:p w:rsidR="008C0849" w:rsidRPr="0086602A" w:rsidRDefault="008C0849" w:rsidP="008C0849">
      <w:pPr>
        <w:shd w:val="clear" w:color="auto" w:fill="FFFFFF"/>
        <w:spacing w:before="100" w:beforeAutospacing="1" w:after="100" w:afterAutospacing="1"/>
        <w:contextualSpacing/>
        <w:jc w:val="both"/>
        <w:rPr>
          <w:rFonts w:ascii="Calibri" w:eastAsia="Times New Roman" w:hAnsi="Calibri" w:cs="Calibri"/>
          <w:color w:val="000000"/>
          <w:sz w:val="22"/>
          <w:szCs w:val="22"/>
        </w:rPr>
      </w:pPr>
    </w:p>
    <w:p w:rsidR="0086602A" w:rsidRPr="0086602A" w:rsidRDefault="0086602A" w:rsidP="0086602A">
      <w:pPr>
        <w:shd w:val="clear" w:color="auto" w:fill="FFFFFF"/>
        <w:spacing w:after="375"/>
        <w:contextualSpacing/>
        <w:jc w:val="both"/>
        <w:rPr>
          <w:rFonts w:ascii="Calibri" w:eastAsia="Times New Roman" w:hAnsi="Calibri" w:cs="Calibri"/>
          <w:color w:val="000000"/>
          <w:sz w:val="22"/>
          <w:szCs w:val="22"/>
        </w:rPr>
      </w:pPr>
      <w:r w:rsidRPr="0086602A">
        <w:rPr>
          <w:rFonts w:ascii="Calibri" w:eastAsia="Times New Roman" w:hAnsi="Calibri" w:cs="Calibri"/>
          <w:b/>
          <w:bCs/>
          <w:color w:val="000000"/>
          <w:sz w:val="22"/>
          <w:szCs w:val="22"/>
        </w:rPr>
        <w:lastRenderedPageBreak/>
        <w:t>Artikel 8 Betalingsvoorwaarden  </w:t>
      </w:r>
    </w:p>
    <w:p w:rsidR="0086602A" w:rsidRPr="0086602A" w:rsidRDefault="0086602A" w:rsidP="0086602A">
      <w:pPr>
        <w:numPr>
          <w:ilvl w:val="0"/>
          <w:numId w:val="5"/>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 xml:space="preserve">Alle door 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genoemde opdrachten zijn exclusief btw.</w:t>
      </w:r>
    </w:p>
    <w:p w:rsidR="0086602A" w:rsidRPr="0086602A" w:rsidRDefault="0086602A" w:rsidP="0086602A">
      <w:pPr>
        <w:numPr>
          <w:ilvl w:val="0"/>
          <w:numId w:val="5"/>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 xml:space="preserve">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zal voor het door opdrachtgever verschuldigde bedrag een elektronisch factuur sturen aan opdrachtgever. Opdrachtgever stemt in met elektronische facturatie.</w:t>
      </w:r>
    </w:p>
    <w:p w:rsidR="0086602A" w:rsidRPr="0086602A" w:rsidRDefault="0086602A" w:rsidP="0086602A">
      <w:pPr>
        <w:numPr>
          <w:ilvl w:val="0"/>
          <w:numId w:val="5"/>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 xml:space="preserve">Het is 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toegestaan om opdrachtgever bij vooruitbetaling te factureren. Het is 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tevens toegestaan pas met de uitvoering van haar werkzaamheden te beginnen wanneer het verschuldigde bedrag (of het overeengekomen deel) door 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is ontvangen. Indien het uitblijven van betaling gevolgen heeft voor de overeengekomen termijnen, komt dat voor rekening en risico van opdrachtgever.</w:t>
      </w:r>
    </w:p>
    <w:p w:rsidR="0086602A" w:rsidRPr="0086602A" w:rsidRDefault="0086602A" w:rsidP="0086602A">
      <w:pPr>
        <w:numPr>
          <w:ilvl w:val="0"/>
          <w:numId w:val="5"/>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 xml:space="preserve">Opdrachtgever machtigt 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de bedragen voor de abonnementsdiensten via automatische incasso te innen.</w:t>
      </w:r>
    </w:p>
    <w:p w:rsidR="0086602A" w:rsidRPr="0086602A" w:rsidRDefault="0086602A" w:rsidP="0086602A">
      <w:pPr>
        <w:numPr>
          <w:ilvl w:val="0"/>
          <w:numId w:val="5"/>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 xml:space="preserve">De betalingstermijn voor door 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verzonden facturen bedraagt 14 kalenderdagen na de factuurdatum.</w:t>
      </w:r>
    </w:p>
    <w:p w:rsidR="0086602A" w:rsidRPr="0086602A" w:rsidRDefault="0086602A" w:rsidP="0086602A">
      <w:pPr>
        <w:numPr>
          <w:ilvl w:val="0"/>
          <w:numId w:val="5"/>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Indien opdrachtgever een factuur niet of niet volledig binnen de betalingstermijn voldoet, is opdrachtgever direct na het aflopen van de betalingstermijn van rechtswege in verzuim zonder dat hiervoor een ingebrekestelling is vereist.</w:t>
      </w:r>
    </w:p>
    <w:p w:rsidR="0086602A" w:rsidRPr="0086602A" w:rsidRDefault="0086602A" w:rsidP="0086602A">
      <w:pPr>
        <w:numPr>
          <w:ilvl w:val="0"/>
          <w:numId w:val="5"/>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Bij een niet tijdige betaling is opdrachtgever over het openstaande bedrag de wettelijke handelsrente verschuldigd vanaf de eerste dag na het aflopen van de betalingstermijn, zonder dat een nadere ingebrekestelling is vereist. Tevens is opdrachtgever in een dergelijk geval gehouden tot volledige vergoeding van alle buitengerechtelijke en gerechtelijke (incasso)kosten, waaronder begrepen maar niet beperkt tot de kosten voor advocaten, deurwaarders en incassobureaus.</w:t>
      </w:r>
    </w:p>
    <w:p w:rsidR="0086602A" w:rsidRPr="0086602A" w:rsidRDefault="0086602A" w:rsidP="0086602A">
      <w:pPr>
        <w:numPr>
          <w:ilvl w:val="0"/>
          <w:numId w:val="5"/>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De vordering tot betaling is direct opeisbaar in het geval opdrachtgever in staat van faillissement wordt verklaard, surséance van betaling aanvraagt dan wel beslag op vermogensbestanddelen van opdrachtgever wordt gelegd, opdrachtgever overlijdt en/of indien opdrachtgever in liquidatie treedt of wordt ontbonden.</w:t>
      </w:r>
    </w:p>
    <w:p w:rsidR="0086602A" w:rsidRPr="0086602A" w:rsidRDefault="0086602A" w:rsidP="0086602A">
      <w:pPr>
        <w:shd w:val="clear" w:color="auto" w:fill="FFFFFF"/>
        <w:spacing w:after="375"/>
        <w:contextualSpacing/>
        <w:jc w:val="both"/>
        <w:rPr>
          <w:rFonts w:ascii="Calibri" w:eastAsia="Times New Roman" w:hAnsi="Calibri" w:cs="Calibri"/>
          <w:color w:val="000000"/>
          <w:sz w:val="22"/>
          <w:szCs w:val="22"/>
        </w:rPr>
      </w:pPr>
      <w:r w:rsidRPr="0086602A">
        <w:rPr>
          <w:rFonts w:ascii="Calibri" w:eastAsia="Times New Roman" w:hAnsi="Calibri" w:cs="Calibri"/>
          <w:b/>
          <w:bCs/>
          <w:color w:val="000000"/>
          <w:sz w:val="22"/>
          <w:szCs w:val="22"/>
        </w:rPr>
        <w:t>Artikel 10 Aansprakelijkheid </w:t>
      </w:r>
    </w:p>
    <w:p w:rsidR="0086602A" w:rsidRPr="0086602A" w:rsidRDefault="0086602A" w:rsidP="0086602A">
      <w:pPr>
        <w:numPr>
          <w:ilvl w:val="0"/>
          <w:numId w:val="6"/>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 xml:space="preserve">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aanvaardt wettelijke en contractuele verplichtingen tot schadevergoeding slechts voor zover dat uit dit artikel blijkt.</w:t>
      </w:r>
    </w:p>
    <w:p w:rsidR="0086602A" w:rsidRPr="0086602A" w:rsidRDefault="0086602A" w:rsidP="0086602A">
      <w:pPr>
        <w:numPr>
          <w:ilvl w:val="0"/>
          <w:numId w:val="6"/>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 xml:space="preserve">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is niet aansprakelijk voor schade voortvloeiende uit of verband houdende met de diensten (waaronder ook de cursussen) die zij verleend aan de opdrachtgever.</w:t>
      </w:r>
    </w:p>
    <w:p w:rsidR="0086602A" w:rsidRPr="0086602A" w:rsidRDefault="0086602A" w:rsidP="0086602A">
      <w:pPr>
        <w:numPr>
          <w:ilvl w:val="0"/>
          <w:numId w:val="6"/>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 xml:space="preserve">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is slechts aansprakelijk jegens opdrachtgever in het geval van een toerekenbare tekortkoming in de nakoming van de overeenkomst uitsluitend ten hoogste voor de waarde van de achtergebleven prestatie.</w:t>
      </w:r>
    </w:p>
    <w:p w:rsidR="0086602A" w:rsidRPr="0086602A" w:rsidRDefault="0086602A" w:rsidP="0086602A">
      <w:pPr>
        <w:numPr>
          <w:ilvl w:val="0"/>
          <w:numId w:val="6"/>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 xml:space="preserve">De aansprakelijkheid van 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wegens toerekenbare tekortkoming in de nakoming van een overeenkomst ontstaat slechts indien opdrachtgever 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onverwijld en deugdelijk schriftelijk in gebreke stelt en daarbij een redelijke termijn stelt voor de zuivering van de tekortkoming en 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ook na die termijn toerekenbaar in de nakoming van zijn verplichtingen tekort blijft schieten.</w:t>
      </w:r>
    </w:p>
    <w:p w:rsidR="0086602A" w:rsidRPr="0086602A" w:rsidRDefault="0086602A" w:rsidP="0086602A">
      <w:pPr>
        <w:numPr>
          <w:ilvl w:val="0"/>
          <w:numId w:val="6"/>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 xml:space="preserve">Iedere aansprakelijkheid van 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voor enige andere vorm van schade is uitgesloten.</w:t>
      </w:r>
    </w:p>
    <w:p w:rsidR="0086602A" w:rsidRPr="0086602A" w:rsidRDefault="0086602A" w:rsidP="0086602A">
      <w:pPr>
        <w:numPr>
          <w:ilvl w:val="0"/>
          <w:numId w:val="6"/>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 xml:space="preserve">Opdrachtgever vrijwaart 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voor alle aanspraken van derden die samenhangen met de uitvoering van de overeenkomst, waaronder ook het gebruik van de cursus.</w:t>
      </w:r>
    </w:p>
    <w:p w:rsidR="0086602A" w:rsidRDefault="0086602A" w:rsidP="0086602A">
      <w:pPr>
        <w:numPr>
          <w:ilvl w:val="0"/>
          <w:numId w:val="6"/>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 xml:space="preserve">In het geval van overmacht waardoor uitvoering van de opdracht redelijkerwijs niet van 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kan worden gevergd, zal de overeenkomst worden opgeschort voor de duur van de overmachtstoestand. Indien de overmachtstoestand langer dan 7 dagen duurt, </w:t>
      </w:r>
      <w:r w:rsidRPr="0086602A">
        <w:rPr>
          <w:rFonts w:ascii="Calibri" w:eastAsia="Times New Roman" w:hAnsi="Calibri" w:cs="Calibri"/>
          <w:color w:val="000000"/>
          <w:sz w:val="22"/>
          <w:szCs w:val="22"/>
        </w:rPr>
        <w:lastRenderedPageBreak/>
        <w:t>hebben beide partijen het recht om de overeenkomst te beëindigen. Dit alles zonder enige verplichting tot schadevergoeding over en weer.</w:t>
      </w:r>
    </w:p>
    <w:p w:rsidR="0086602A" w:rsidRPr="0086602A" w:rsidRDefault="0086602A" w:rsidP="0086602A">
      <w:pPr>
        <w:shd w:val="clear" w:color="auto" w:fill="FFFFFF"/>
        <w:spacing w:before="100" w:beforeAutospacing="1" w:after="100" w:afterAutospacing="1"/>
        <w:ind w:left="720"/>
        <w:contextualSpacing/>
        <w:jc w:val="both"/>
        <w:rPr>
          <w:rFonts w:ascii="Calibri" w:eastAsia="Times New Roman" w:hAnsi="Calibri" w:cs="Calibri"/>
          <w:color w:val="000000"/>
          <w:sz w:val="22"/>
          <w:szCs w:val="22"/>
        </w:rPr>
      </w:pPr>
    </w:p>
    <w:p w:rsidR="0086602A" w:rsidRPr="0086602A" w:rsidRDefault="0086602A" w:rsidP="0086602A">
      <w:pPr>
        <w:shd w:val="clear" w:color="auto" w:fill="FFFFFF"/>
        <w:spacing w:after="375"/>
        <w:contextualSpacing/>
        <w:jc w:val="both"/>
        <w:rPr>
          <w:rFonts w:ascii="Calibri" w:eastAsia="Times New Roman" w:hAnsi="Calibri" w:cs="Calibri"/>
          <w:color w:val="000000"/>
          <w:sz w:val="22"/>
          <w:szCs w:val="22"/>
        </w:rPr>
      </w:pPr>
      <w:r w:rsidRPr="0086602A">
        <w:rPr>
          <w:rFonts w:ascii="Calibri" w:eastAsia="Times New Roman" w:hAnsi="Calibri" w:cs="Calibri"/>
          <w:b/>
          <w:bCs/>
          <w:color w:val="000000"/>
          <w:sz w:val="22"/>
          <w:szCs w:val="22"/>
        </w:rPr>
        <w:t>Artikel 11 Intellectuele eigendom</w:t>
      </w:r>
    </w:p>
    <w:p w:rsidR="0086602A" w:rsidRPr="0086602A" w:rsidRDefault="0086602A" w:rsidP="0086602A">
      <w:pPr>
        <w:numPr>
          <w:ilvl w:val="0"/>
          <w:numId w:val="7"/>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 xml:space="preserve">Opdrachtgever zal de door 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verstrekte resultaten van de opdracht alleen gebruiken voor het overeengekomen doel. Opdrachtgever zal de door 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opgestelde teksten alleen gebruiken voor de bij de opdracht aangegeven bestemmingen. Bij schending van deze bepaling is 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gerechtigd het door haar gehanteerde standaardtarief voor het betreffende gebruik van de resultaten van de opdracht, met een toeslag van 50% voor het ongeautoriseerde gebruik door opdrachtgever, in rekening te brengen, onverminderd het recht van 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om (aanvullende) schadevergoeding te vorderen. Bovendien heeft 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in dat geval het recht om de gebruikslicentie ten aanzien van de opgestelde teksten in te trekken.</w:t>
      </w:r>
    </w:p>
    <w:p w:rsidR="0086602A" w:rsidRPr="0086602A" w:rsidRDefault="0086602A" w:rsidP="0086602A">
      <w:pPr>
        <w:numPr>
          <w:ilvl w:val="0"/>
          <w:numId w:val="7"/>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 xml:space="preserve">De auteursrechten en andere rechten van intellectuele eigendom op alle in het kader van de opdracht door of namens 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ontwikkelde of ter beschikking gestelde materialen, berusten bij 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Hieronder begrepen maar niet beperkt tot </w:t>
      </w:r>
      <w:proofErr w:type="spellStart"/>
      <w:r w:rsidRPr="0086602A">
        <w:rPr>
          <w:rFonts w:ascii="Calibri" w:eastAsia="Times New Roman" w:hAnsi="Calibri" w:cs="Calibri"/>
          <w:color w:val="000000"/>
          <w:sz w:val="22"/>
          <w:szCs w:val="22"/>
        </w:rPr>
        <w:t>privacyverklaringen</w:t>
      </w:r>
      <w:proofErr w:type="spellEnd"/>
      <w:r w:rsidRPr="0086602A">
        <w:rPr>
          <w:rFonts w:ascii="Calibri" w:eastAsia="Times New Roman" w:hAnsi="Calibri" w:cs="Calibri"/>
          <w:color w:val="000000"/>
          <w:sz w:val="22"/>
          <w:szCs w:val="22"/>
        </w:rPr>
        <w:t>, adviezen, rapporten, offertes. Opdrachtgever verkrijgt uitsluitend de gebruiksrechten en bevoegdheden die voortvloeien uit de strekking van de overeenkomst of die nader worden toegekend aan opdrachtgever.</w:t>
      </w:r>
    </w:p>
    <w:p w:rsidR="0086602A" w:rsidRPr="0086602A" w:rsidRDefault="0086602A" w:rsidP="0086602A">
      <w:pPr>
        <w:numPr>
          <w:ilvl w:val="0"/>
          <w:numId w:val="7"/>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 xml:space="preserve">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verklaart dat naar haar beste weten de cursussen en overige diensten geen inbreuk maken op in Nederland geldende intellectuele eigendomsrechten van derden. In geval van aanspraken van derden ter zake van een inbreuk op dergelijke rechten, kan 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zo nodig de desbetreffende cursussen en overige diensten vervangen of wijzigen, dan wel de overeenkomst geheel of gedeeltelijk ontbinden. Opdrachtgever heeft uitsluitend het recht de overeenkomst te ontbinden voor zover instandhouding daarvan in redelijkheid niet van hem kan worden verlangd.</w:t>
      </w:r>
    </w:p>
    <w:p w:rsidR="0086602A" w:rsidRPr="0086602A" w:rsidRDefault="0086602A" w:rsidP="0086602A">
      <w:pPr>
        <w:numPr>
          <w:ilvl w:val="0"/>
          <w:numId w:val="7"/>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 xml:space="preserve">Opdrachtgever zal 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onmiddellijk in kennis stellen van enige aanspraak van een derde ter zake van een inbreuk op intellectuele eigendomsrechten met betrekking tot de cursussen en overige diensten. In dat geval is 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bevoegd daartegen mede namens opdrachtgever verweer te voeren of tegen die derde rechtsmaatregelen te nemen, dan wel met die derde een minnelijke regeling te treffen. In alle gevallen zal opdrachtgever 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zijn optimale medewerking verlenen.</w:t>
      </w:r>
    </w:p>
    <w:p w:rsidR="0086602A" w:rsidRPr="0086602A" w:rsidRDefault="0086602A" w:rsidP="0086602A">
      <w:pPr>
        <w:pStyle w:val="ListParagraph"/>
        <w:shd w:val="clear" w:color="auto" w:fill="FFFFFF"/>
        <w:spacing w:after="375"/>
        <w:jc w:val="both"/>
        <w:rPr>
          <w:rFonts w:ascii="Calibri" w:eastAsia="Times New Roman" w:hAnsi="Calibri" w:cs="Calibri"/>
          <w:color w:val="000000"/>
          <w:sz w:val="22"/>
          <w:szCs w:val="22"/>
        </w:rPr>
      </w:pPr>
      <w:r w:rsidRPr="0086602A">
        <w:rPr>
          <w:rFonts w:ascii="Calibri" w:eastAsia="Times New Roman" w:hAnsi="Calibri" w:cs="Calibri"/>
          <w:b/>
          <w:bCs/>
          <w:color w:val="000000"/>
          <w:sz w:val="22"/>
          <w:szCs w:val="22"/>
        </w:rPr>
        <w:t>Artikel 12 Geheimhouding gegevens</w:t>
      </w:r>
    </w:p>
    <w:p w:rsidR="0086602A" w:rsidRPr="0086602A" w:rsidRDefault="0086602A" w:rsidP="008C0849">
      <w:pPr>
        <w:pStyle w:val="ListParagraph"/>
        <w:numPr>
          <w:ilvl w:val="0"/>
          <w:numId w:val="10"/>
        </w:numPr>
        <w:shd w:val="clear" w:color="auto" w:fill="FFFFFF"/>
        <w:spacing w:after="375"/>
        <w:jc w:val="both"/>
        <w:rPr>
          <w:rFonts w:ascii="Calibri" w:eastAsia="Times New Roman" w:hAnsi="Calibri" w:cs="Calibri"/>
          <w:color w:val="000000"/>
          <w:sz w:val="22"/>
          <w:szCs w:val="22"/>
        </w:rPr>
      </w:pPr>
      <w:bookmarkStart w:id="0" w:name="_GoBack"/>
      <w:bookmarkEnd w:id="0"/>
      <w:r w:rsidRPr="0086602A">
        <w:rPr>
          <w:rFonts w:ascii="Calibri" w:eastAsia="Times New Roman" w:hAnsi="Calibri" w:cs="Calibri"/>
          <w:color w:val="000000"/>
          <w:sz w:val="22"/>
          <w:szCs w:val="22"/>
        </w:rPr>
        <w:t xml:space="preserve">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spant zich ervoor in zodanige maatregelen te treffen dat geheimhouding wordt betracht met betrekking tot gegevens van opdrachtgever waarvan duidelijk is dat opdrachtgever met betrekking tot deze gegevens geheimhouding wenst.</w:t>
      </w:r>
    </w:p>
    <w:p w:rsidR="0086602A" w:rsidRPr="0086602A" w:rsidRDefault="0086602A" w:rsidP="0086602A">
      <w:pPr>
        <w:shd w:val="clear" w:color="auto" w:fill="FFFFFF"/>
        <w:spacing w:after="375"/>
        <w:contextualSpacing/>
        <w:jc w:val="both"/>
        <w:rPr>
          <w:rFonts w:ascii="Calibri" w:eastAsia="Times New Roman" w:hAnsi="Calibri" w:cs="Calibri"/>
          <w:color w:val="000000"/>
          <w:sz w:val="22"/>
          <w:szCs w:val="22"/>
        </w:rPr>
      </w:pPr>
      <w:r w:rsidRPr="0086602A">
        <w:rPr>
          <w:rFonts w:ascii="Calibri" w:eastAsia="Times New Roman" w:hAnsi="Calibri" w:cs="Calibri"/>
          <w:b/>
          <w:bCs/>
          <w:color w:val="000000"/>
          <w:sz w:val="22"/>
          <w:szCs w:val="22"/>
        </w:rPr>
        <w:t>Artikel 13 Wijzigen van deze algemene voorwaarden</w:t>
      </w:r>
    </w:p>
    <w:p w:rsidR="0086602A" w:rsidRPr="0086602A" w:rsidRDefault="0086602A" w:rsidP="0086602A">
      <w:pPr>
        <w:numPr>
          <w:ilvl w:val="0"/>
          <w:numId w:val="8"/>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 xml:space="preserve">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heeft het recht om deze algemene voorwaarden te wijzigen of aan te vullen.</w:t>
      </w:r>
    </w:p>
    <w:p w:rsidR="0086602A" w:rsidRPr="0086602A" w:rsidRDefault="0086602A" w:rsidP="0086602A">
      <w:pPr>
        <w:numPr>
          <w:ilvl w:val="0"/>
          <w:numId w:val="8"/>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Wijzigingen gelden ook voor reeds gesloten overeenkomsten met inachtneming van een termijn van 30 dagen na bekendmaking aan opdrachtgever.</w:t>
      </w:r>
    </w:p>
    <w:p w:rsidR="0086602A" w:rsidRPr="0086602A" w:rsidRDefault="0086602A" w:rsidP="0086602A">
      <w:pPr>
        <w:numPr>
          <w:ilvl w:val="0"/>
          <w:numId w:val="8"/>
        </w:numPr>
        <w:shd w:val="clear" w:color="auto" w:fill="FFFFFF"/>
        <w:spacing w:before="100" w:beforeAutospacing="1" w:after="100" w:afterAutospacing="1"/>
        <w:contextualSpacing/>
        <w:jc w:val="both"/>
        <w:rPr>
          <w:rFonts w:ascii="Calibri" w:eastAsia="Times New Roman" w:hAnsi="Calibri" w:cs="Calibri"/>
          <w:color w:val="000000"/>
          <w:sz w:val="22"/>
          <w:szCs w:val="22"/>
        </w:rPr>
      </w:pPr>
      <w:r w:rsidRPr="0086602A">
        <w:rPr>
          <w:rFonts w:ascii="Calibri" w:eastAsia="Times New Roman" w:hAnsi="Calibri" w:cs="Calibri"/>
          <w:color w:val="000000"/>
          <w:sz w:val="22"/>
          <w:szCs w:val="22"/>
        </w:rPr>
        <w:t xml:space="preserve">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zal binnen deze termijn gemelde bezwaren van opdrachtgever overwegen en kan de betreffende wijzigingen intrekken of aanpassen op basis van deze bezwaren. Indien The Privacy </w:t>
      </w:r>
      <w:proofErr w:type="spellStart"/>
      <w:r w:rsidRPr="0086602A">
        <w:rPr>
          <w:rFonts w:ascii="Calibri" w:eastAsia="Times New Roman" w:hAnsi="Calibri" w:cs="Calibri"/>
          <w:color w:val="000000"/>
          <w:sz w:val="22"/>
          <w:szCs w:val="22"/>
        </w:rPr>
        <w:t>Organization</w:t>
      </w:r>
      <w:proofErr w:type="spellEnd"/>
      <w:r w:rsidRPr="0086602A">
        <w:rPr>
          <w:rFonts w:ascii="Calibri" w:eastAsia="Times New Roman" w:hAnsi="Calibri" w:cs="Calibri"/>
          <w:color w:val="000000"/>
          <w:sz w:val="22"/>
          <w:szCs w:val="22"/>
        </w:rPr>
        <w:t xml:space="preserve"> een bezwaar passeert, verkrijgt opdrachtgever het recht de overeenkomst te beëindigen tegen het einde van deze termijn.</w:t>
      </w:r>
    </w:p>
    <w:p w:rsidR="0086602A" w:rsidRPr="0086602A" w:rsidRDefault="0086602A" w:rsidP="0086602A">
      <w:pPr>
        <w:autoSpaceDE w:val="0"/>
        <w:autoSpaceDN w:val="0"/>
        <w:adjustRightInd w:val="0"/>
        <w:contextualSpacing/>
        <w:rPr>
          <w:rFonts w:ascii="Calibri" w:hAnsi="Calibri" w:cs="Calibri"/>
          <w:sz w:val="22"/>
          <w:szCs w:val="22"/>
        </w:rPr>
      </w:pPr>
    </w:p>
    <w:p w:rsidR="00641F8E" w:rsidRPr="0086602A" w:rsidRDefault="00641F8E" w:rsidP="0086602A">
      <w:pPr>
        <w:autoSpaceDE w:val="0"/>
        <w:autoSpaceDN w:val="0"/>
        <w:adjustRightInd w:val="0"/>
        <w:contextualSpacing/>
        <w:rPr>
          <w:rFonts w:ascii="Calibri" w:hAnsi="Calibri" w:cs="Calibri"/>
          <w:b/>
          <w:sz w:val="22"/>
          <w:szCs w:val="22"/>
        </w:rPr>
      </w:pPr>
      <w:r w:rsidRPr="0086602A">
        <w:rPr>
          <w:rFonts w:ascii="Calibri" w:hAnsi="Calibri" w:cs="Calibri"/>
          <w:b/>
          <w:sz w:val="22"/>
          <w:szCs w:val="22"/>
        </w:rPr>
        <w:t>Artikel 1</w:t>
      </w:r>
      <w:r w:rsidR="00D3620F">
        <w:rPr>
          <w:rFonts w:ascii="Calibri" w:hAnsi="Calibri" w:cs="Calibri"/>
          <w:b/>
          <w:sz w:val="22"/>
          <w:szCs w:val="22"/>
        </w:rPr>
        <w:t>4</w:t>
      </w:r>
      <w:r w:rsidRPr="0086602A">
        <w:rPr>
          <w:rFonts w:ascii="Calibri" w:hAnsi="Calibri" w:cs="Calibri"/>
          <w:b/>
          <w:sz w:val="22"/>
          <w:szCs w:val="22"/>
        </w:rPr>
        <w:t xml:space="preserve"> Toepasselijk recht</w:t>
      </w:r>
    </w:p>
    <w:p w:rsidR="00641F8E" w:rsidRPr="0086602A" w:rsidRDefault="00641F8E" w:rsidP="0086602A">
      <w:pPr>
        <w:pStyle w:val="ListParagraph"/>
        <w:numPr>
          <w:ilvl w:val="0"/>
          <w:numId w:val="9"/>
        </w:numPr>
        <w:autoSpaceDE w:val="0"/>
        <w:autoSpaceDN w:val="0"/>
        <w:adjustRightInd w:val="0"/>
        <w:rPr>
          <w:rFonts w:ascii="Calibri" w:hAnsi="Calibri" w:cs="Calibri"/>
          <w:sz w:val="22"/>
          <w:szCs w:val="22"/>
        </w:rPr>
      </w:pPr>
      <w:r w:rsidRPr="0086602A">
        <w:rPr>
          <w:rFonts w:ascii="Calibri" w:hAnsi="Calibri" w:cs="Calibri"/>
          <w:sz w:val="22"/>
          <w:szCs w:val="22"/>
        </w:rPr>
        <w:t>Deze overeenkomst is onderworpen aan het Nederlandse recht</w:t>
      </w:r>
      <w:r w:rsidR="0086602A" w:rsidRPr="0086602A">
        <w:rPr>
          <w:rFonts w:ascii="Calibri" w:hAnsi="Calibri" w:cs="Calibri"/>
          <w:sz w:val="22"/>
          <w:szCs w:val="22"/>
        </w:rPr>
        <w:t>.</w:t>
      </w:r>
    </w:p>
    <w:p w:rsidR="00641F8E" w:rsidRPr="0086602A" w:rsidRDefault="00641F8E" w:rsidP="0086602A">
      <w:pPr>
        <w:autoSpaceDE w:val="0"/>
        <w:autoSpaceDN w:val="0"/>
        <w:adjustRightInd w:val="0"/>
        <w:contextualSpacing/>
        <w:rPr>
          <w:rFonts w:ascii="Calibri" w:hAnsi="Calibri" w:cs="Calibri"/>
          <w:sz w:val="22"/>
          <w:szCs w:val="22"/>
        </w:rPr>
      </w:pPr>
    </w:p>
    <w:p w:rsidR="00641F8E" w:rsidRPr="0086602A" w:rsidRDefault="00641F8E" w:rsidP="0086602A">
      <w:pPr>
        <w:autoSpaceDE w:val="0"/>
        <w:autoSpaceDN w:val="0"/>
        <w:adjustRightInd w:val="0"/>
        <w:contextualSpacing/>
        <w:rPr>
          <w:rFonts w:ascii="Calibri" w:hAnsi="Calibri" w:cs="Calibri"/>
          <w:b/>
          <w:sz w:val="22"/>
          <w:szCs w:val="22"/>
        </w:rPr>
      </w:pPr>
      <w:r w:rsidRPr="0086602A">
        <w:rPr>
          <w:rFonts w:ascii="Calibri" w:hAnsi="Calibri" w:cs="Calibri"/>
          <w:b/>
          <w:sz w:val="22"/>
          <w:szCs w:val="22"/>
        </w:rPr>
        <w:lastRenderedPageBreak/>
        <w:t>Artikel 16 Toepasselijkheid van deze algemene voorwaarden</w:t>
      </w:r>
    </w:p>
    <w:p w:rsidR="00641F8E" w:rsidRPr="0086602A" w:rsidRDefault="00641F8E" w:rsidP="0086602A">
      <w:pPr>
        <w:autoSpaceDE w:val="0"/>
        <w:autoSpaceDN w:val="0"/>
        <w:adjustRightInd w:val="0"/>
        <w:contextualSpacing/>
        <w:rPr>
          <w:rFonts w:ascii="Calibri" w:hAnsi="Calibri" w:cs="Calibri"/>
          <w:sz w:val="22"/>
          <w:szCs w:val="22"/>
        </w:rPr>
      </w:pPr>
      <w:r w:rsidRPr="0086602A">
        <w:rPr>
          <w:rFonts w:ascii="Calibri" w:hAnsi="Calibri" w:cs="Calibri"/>
          <w:sz w:val="22"/>
          <w:szCs w:val="22"/>
        </w:rPr>
        <w:t>Deze algemene voorwaarden zijn van toepassing op alle aanbiedingen en aanvaardingen van de zijde van verkoper. Voor</w:t>
      </w:r>
      <w:r w:rsidR="0086602A">
        <w:rPr>
          <w:rFonts w:ascii="Calibri" w:hAnsi="Calibri" w:cs="Calibri"/>
          <w:sz w:val="22"/>
          <w:szCs w:val="22"/>
        </w:rPr>
        <w:t xml:space="preserve"> </w:t>
      </w:r>
      <w:r w:rsidRPr="0086602A">
        <w:rPr>
          <w:rFonts w:ascii="Calibri" w:hAnsi="Calibri" w:cs="Calibri"/>
          <w:sz w:val="22"/>
          <w:szCs w:val="22"/>
        </w:rPr>
        <w:t>zover verkoper in zijn aanbod of aanvaarding zou verwijzen naar andere voorwaarden, wordt de toepasselijkheid daarvan</w:t>
      </w:r>
      <w:r w:rsidR="0086602A">
        <w:rPr>
          <w:rFonts w:ascii="Calibri" w:hAnsi="Calibri" w:cs="Calibri"/>
          <w:sz w:val="22"/>
          <w:szCs w:val="22"/>
        </w:rPr>
        <w:t xml:space="preserve"> </w:t>
      </w:r>
      <w:r w:rsidRPr="0086602A">
        <w:rPr>
          <w:rFonts w:ascii="Calibri" w:hAnsi="Calibri" w:cs="Calibri"/>
          <w:sz w:val="22"/>
          <w:szCs w:val="22"/>
        </w:rPr>
        <w:t>uitdrukkelijk van de hand gewezen</w:t>
      </w:r>
      <w:r w:rsidR="00D3620F">
        <w:rPr>
          <w:rFonts w:ascii="Calibri" w:hAnsi="Calibri" w:cs="Calibri"/>
          <w:sz w:val="22"/>
          <w:szCs w:val="22"/>
        </w:rPr>
        <w:t>.</w:t>
      </w:r>
    </w:p>
    <w:p w:rsidR="00641F8E" w:rsidRPr="0086602A" w:rsidRDefault="00641F8E" w:rsidP="0086602A">
      <w:pPr>
        <w:autoSpaceDE w:val="0"/>
        <w:autoSpaceDN w:val="0"/>
        <w:adjustRightInd w:val="0"/>
        <w:contextualSpacing/>
        <w:rPr>
          <w:rFonts w:ascii="Calibri" w:hAnsi="Calibri" w:cs="Calibri"/>
          <w:sz w:val="22"/>
          <w:szCs w:val="22"/>
        </w:rPr>
      </w:pPr>
    </w:p>
    <w:p w:rsidR="00641F8E" w:rsidRPr="0086602A" w:rsidRDefault="00641F8E" w:rsidP="0086602A">
      <w:pPr>
        <w:autoSpaceDE w:val="0"/>
        <w:autoSpaceDN w:val="0"/>
        <w:adjustRightInd w:val="0"/>
        <w:contextualSpacing/>
        <w:rPr>
          <w:rFonts w:ascii="Calibri" w:hAnsi="Calibri" w:cs="Calibri"/>
          <w:b/>
          <w:sz w:val="22"/>
          <w:szCs w:val="22"/>
        </w:rPr>
      </w:pPr>
      <w:r w:rsidRPr="0086602A">
        <w:rPr>
          <w:rFonts w:ascii="Calibri" w:hAnsi="Calibri" w:cs="Calibri"/>
          <w:b/>
          <w:sz w:val="22"/>
          <w:szCs w:val="22"/>
        </w:rPr>
        <w:t>Artikel 17 Geschillen</w:t>
      </w:r>
    </w:p>
    <w:p w:rsidR="00641F8E" w:rsidRPr="0086602A" w:rsidRDefault="00641F8E" w:rsidP="0086602A">
      <w:pPr>
        <w:autoSpaceDE w:val="0"/>
        <w:autoSpaceDN w:val="0"/>
        <w:adjustRightInd w:val="0"/>
        <w:contextualSpacing/>
        <w:rPr>
          <w:rFonts w:ascii="Calibri" w:hAnsi="Calibri" w:cs="Calibri"/>
          <w:sz w:val="22"/>
          <w:szCs w:val="22"/>
        </w:rPr>
      </w:pPr>
      <w:r w:rsidRPr="0086602A">
        <w:rPr>
          <w:rFonts w:ascii="Calibri" w:hAnsi="Calibri" w:cs="Calibri"/>
          <w:sz w:val="22"/>
          <w:szCs w:val="22"/>
        </w:rPr>
        <w:t>1</w:t>
      </w:r>
      <w:r w:rsidR="00D3620F">
        <w:rPr>
          <w:rFonts w:ascii="Calibri" w:hAnsi="Calibri" w:cs="Calibri"/>
          <w:sz w:val="22"/>
          <w:szCs w:val="22"/>
        </w:rPr>
        <w:t>.</w:t>
      </w:r>
      <w:r w:rsidRPr="0086602A">
        <w:rPr>
          <w:rFonts w:ascii="Calibri" w:hAnsi="Calibri" w:cs="Calibri"/>
          <w:sz w:val="22"/>
          <w:szCs w:val="22"/>
        </w:rPr>
        <w:t xml:space="preserve"> Alle geschillen welke tussen partijen mochten ontstaan, naar aanleiding van hun overeenkomst dan wel van</w:t>
      </w:r>
      <w:r w:rsidR="0086602A" w:rsidRPr="0086602A">
        <w:rPr>
          <w:rFonts w:ascii="Calibri" w:hAnsi="Calibri" w:cs="Calibri"/>
          <w:sz w:val="22"/>
          <w:szCs w:val="22"/>
        </w:rPr>
        <w:t xml:space="preserve"> </w:t>
      </w:r>
      <w:r w:rsidRPr="0086602A">
        <w:rPr>
          <w:rFonts w:ascii="Calibri" w:hAnsi="Calibri" w:cs="Calibri"/>
          <w:sz w:val="22"/>
          <w:szCs w:val="22"/>
        </w:rPr>
        <w:t>nadere overeenkomsten en andere handelingen in samenhang met de onderhavige overeenkomst zoals bijv., zij</w:t>
      </w:r>
      <w:r w:rsidR="0086602A" w:rsidRPr="0086602A">
        <w:rPr>
          <w:rFonts w:ascii="Calibri" w:hAnsi="Calibri" w:cs="Calibri"/>
          <w:sz w:val="22"/>
          <w:szCs w:val="22"/>
        </w:rPr>
        <w:t xml:space="preserve"> </w:t>
      </w:r>
      <w:r w:rsidRPr="0086602A">
        <w:rPr>
          <w:rFonts w:ascii="Calibri" w:hAnsi="Calibri" w:cs="Calibri"/>
          <w:sz w:val="22"/>
          <w:szCs w:val="22"/>
        </w:rPr>
        <w:t>het niet uitsluitend, onrechtmatige daden, onverschuldigde betalingen en ongegronde verrijkingen, zullen worden</w:t>
      </w:r>
      <w:r w:rsidR="0086602A" w:rsidRPr="0086602A">
        <w:rPr>
          <w:rFonts w:ascii="Calibri" w:hAnsi="Calibri" w:cs="Calibri"/>
          <w:sz w:val="22"/>
          <w:szCs w:val="22"/>
        </w:rPr>
        <w:t xml:space="preserve"> </w:t>
      </w:r>
      <w:r w:rsidRPr="0086602A">
        <w:rPr>
          <w:rFonts w:ascii="Calibri" w:hAnsi="Calibri" w:cs="Calibri"/>
          <w:sz w:val="22"/>
          <w:szCs w:val="22"/>
        </w:rPr>
        <w:t>beslecht door (één mogelijkheid wordt geredigeerd16)) de Rechtbank te ..., zulks behoudens voor zover</w:t>
      </w:r>
      <w:r w:rsidR="0086602A" w:rsidRPr="0086602A">
        <w:rPr>
          <w:rFonts w:ascii="Calibri" w:hAnsi="Calibri" w:cs="Calibri"/>
          <w:sz w:val="22"/>
          <w:szCs w:val="22"/>
        </w:rPr>
        <w:t xml:space="preserve"> </w:t>
      </w:r>
      <w:r w:rsidRPr="0086602A">
        <w:rPr>
          <w:rFonts w:ascii="Calibri" w:hAnsi="Calibri" w:cs="Calibri"/>
          <w:sz w:val="22"/>
          <w:szCs w:val="22"/>
        </w:rPr>
        <w:t>dwingende competentieregels aan deze keuze in de weg zouden staan.</w:t>
      </w:r>
    </w:p>
    <w:p w:rsidR="00641F8E" w:rsidRPr="0086602A" w:rsidRDefault="00641F8E" w:rsidP="0086602A">
      <w:pPr>
        <w:autoSpaceDE w:val="0"/>
        <w:autoSpaceDN w:val="0"/>
        <w:adjustRightInd w:val="0"/>
        <w:contextualSpacing/>
        <w:rPr>
          <w:rFonts w:ascii="Calibri" w:hAnsi="Calibri" w:cs="Calibri"/>
          <w:sz w:val="22"/>
          <w:szCs w:val="22"/>
        </w:rPr>
      </w:pPr>
      <w:r w:rsidRPr="0086602A">
        <w:rPr>
          <w:rFonts w:ascii="Calibri" w:hAnsi="Calibri" w:cs="Calibri"/>
          <w:sz w:val="22"/>
          <w:szCs w:val="22"/>
        </w:rPr>
        <w:t>2</w:t>
      </w:r>
      <w:r w:rsidR="00D3620F">
        <w:rPr>
          <w:rFonts w:ascii="Calibri" w:hAnsi="Calibri" w:cs="Calibri"/>
          <w:sz w:val="22"/>
          <w:szCs w:val="22"/>
        </w:rPr>
        <w:t>.</w:t>
      </w:r>
      <w:r w:rsidRPr="0086602A">
        <w:rPr>
          <w:rFonts w:ascii="Calibri" w:hAnsi="Calibri" w:cs="Calibri"/>
          <w:sz w:val="22"/>
          <w:szCs w:val="22"/>
        </w:rPr>
        <w:t xml:space="preserve"> Een geschil wordt geacht aanwezig te zijn, zodra één van de partijen zulks verklaart.</w:t>
      </w:r>
    </w:p>
    <w:p w:rsidR="00641F8E" w:rsidRPr="0086602A" w:rsidRDefault="00641F8E" w:rsidP="0086602A">
      <w:pPr>
        <w:autoSpaceDE w:val="0"/>
        <w:autoSpaceDN w:val="0"/>
        <w:adjustRightInd w:val="0"/>
        <w:contextualSpacing/>
        <w:rPr>
          <w:rFonts w:ascii="Calibri" w:hAnsi="Calibri" w:cs="Calibri"/>
          <w:sz w:val="22"/>
          <w:szCs w:val="22"/>
        </w:rPr>
      </w:pPr>
    </w:p>
    <w:sectPr w:rsidR="00641F8E" w:rsidRPr="0086602A" w:rsidSect="0046645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08FC"/>
    <w:multiLevelType w:val="multilevel"/>
    <w:tmpl w:val="95708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44725"/>
    <w:multiLevelType w:val="multilevel"/>
    <w:tmpl w:val="1A30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8F1518"/>
    <w:multiLevelType w:val="multilevel"/>
    <w:tmpl w:val="F2182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246975"/>
    <w:multiLevelType w:val="multilevel"/>
    <w:tmpl w:val="DAD6B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9F17B4"/>
    <w:multiLevelType w:val="hybridMultilevel"/>
    <w:tmpl w:val="B8B22C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6E7972"/>
    <w:multiLevelType w:val="hybridMultilevel"/>
    <w:tmpl w:val="F16C5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A6150"/>
    <w:multiLevelType w:val="hybridMultilevel"/>
    <w:tmpl w:val="08D06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DB5B0E"/>
    <w:multiLevelType w:val="multilevel"/>
    <w:tmpl w:val="E9BC91C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D506E8"/>
    <w:multiLevelType w:val="multilevel"/>
    <w:tmpl w:val="39AA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E17E83"/>
    <w:multiLevelType w:val="multilevel"/>
    <w:tmpl w:val="637E36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5"/>
  </w:num>
  <w:num w:numId="2">
    <w:abstractNumId w:val="3"/>
  </w:num>
  <w:num w:numId="3">
    <w:abstractNumId w:val="2"/>
  </w:num>
  <w:num w:numId="4">
    <w:abstractNumId w:val="1"/>
  </w:num>
  <w:num w:numId="5">
    <w:abstractNumId w:val="0"/>
  </w:num>
  <w:num w:numId="6">
    <w:abstractNumId w:val="8"/>
  </w:num>
  <w:num w:numId="7">
    <w:abstractNumId w:val="7"/>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8E"/>
    <w:rsid w:val="00242EC3"/>
    <w:rsid w:val="002752C7"/>
    <w:rsid w:val="0046645D"/>
    <w:rsid w:val="00641F8E"/>
    <w:rsid w:val="0075034F"/>
    <w:rsid w:val="0086602A"/>
    <w:rsid w:val="008C0849"/>
    <w:rsid w:val="00AC21BD"/>
    <w:rsid w:val="00C23CF5"/>
    <w:rsid w:val="00D36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0C72DF"/>
  <w15:chartTrackingRefBased/>
  <w15:docId w15:val="{94A5D810-26FC-4346-912C-3CE94B28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F8E"/>
    <w:pPr>
      <w:ind w:left="720"/>
      <w:contextualSpacing/>
    </w:pPr>
  </w:style>
  <w:style w:type="paragraph" w:styleId="NormalWeb">
    <w:name w:val="Normal (Web)"/>
    <w:basedOn w:val="Normal"/>
    <w:uiPriority w:val="99"/>
    <w:semiHidden/>
    <w:unhideWhenUsed/>
    <w:rsid w:val="0086602A"/>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8660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675257">
      <w:bodyDiv w:val="1"/>
      <w:marLeft w:val="0"/>
      <w:marRight w:val="0"/>
      <w:marTop w:val="0"/>
      <w:marBottom w:val="0"/>
      <w:divBdr>
        <w:top w:val="none" w:sz="0" w:space="0" w:color="auto"/>
        <w:left w:val="none" w:sz="0" w:space="0" w:color="auto"/>
        <w:bottom w:val="none" w:sz="0" w:space="0" w:color="auto"/>
        <w:right w:val="none" w:sz="0" w:space="0" w:color="auto"/>
      </w:divBdr>
    </w:div>
    <w:div w:id="944771186">
      <w:bodyDiv w:val="1"/>
      <w:marLeft w:val="0"/>
      <w:marRight w:val="0"/>
      <w:marTop w:val="0"/>
      <w:marBottom w:val="0"/>
      <w:divBdr>
        <w:top w:val="none" w:sz="0" w:space="0" w:color="auto"/>
        <w:left w:val="none" w:sz="0" w:space="0" w:color="auto"/>
        <w:bottom w:val="none" w:sz="0" w:space="0" w:color="auto"/>
        <w:right w:val="none" w:sz="0" w:space="0" w:color="auto"/>
      </w:divBdr>
    </w:div>
    <w:div w:id="980382182">
      <w:bodyDiv w:val="1"/>
      <w:marLeft w:val="0"/>
      <w:marRight w:val="0"/>
      <w:marTop w:val="0"/>
      <w:marBottom w:val="0"/>
      <w:divBdr>
        <w:top w:val="none" w:sz="0" w:space="0" w:color="auto"/>
        <w:left w:val="none" w:sz="0" w:space="0" w:color="auto"/>
        <w:bottom w:val="none" w:sz="0" w:space="0" w:color="auto"/>
        <w:right w:val="none" w:sz="0" w:space="0" w:color="auto"/>
      </w:divBdr>
    </w:div>
    <w:div w:id="1137643284">
      <w:bodyDiv w:val="1"/>
      <w:marLeft w:val="0"/>
      <w:marRight w:val="0"/>
      <w:marTop w:val="0"/>
      <w:marBottom w:val="0"/>
      <w:divBdr>
        <w:top w:val="none" w:sz="0" w:space="0" w:color="auto"/>
        <w:left w:val="none" w:sz="0" w:space="0" w:color="auto"/>
        <w:bottom w:val="none" w:sz="0" w:space="0" w:color="auto"/>
        <w:right w:val="none" w:sz="0" w:space="0" w:color="auto"/>
      </w:divBdr>
    </w:div>
    <w:div w:id="1560482269">
      <w:bodyDiv w:val="1"/>
      <w:marLeft w:val="0"/>
      <w:marRight w:val="0"/>
      <w:marTop w:val="0"/>
      <w:marBottom w:val="0"/>
      <w:divBdr>
        <w:top w:val="none" w:sz="0" w:space="0" w:color="auto"/>
        <w:left w:val="none" w:sz="0" w:space="0" w:color="auto"/>
        <w:bottom w:val="none" w:sz="0" w:space="0" w:color="auto"/>
        <w:right w:val="none" w:sz="0" w:space="0" w:color="auto"/>
      </w:divBdr>
    </w:div>
    <w:div w:id="1655643431">
      <w:bodyDiv w:val="1"/>
      <w:marLeft w:val="0"/>
      <w:marRight w:val="0"/>
      <w:marTop w:val="0"/>
      <w:marBottom w:val="0"/>
      <w:divBdr>
        <w:top w:val="none" w:sz="0" w:space="0" w:color="auto"/>
        <w:left w:val="none" w:sz="0" w:space="0" w:color="auto"/>
        <w:bottom w:val="none" w:sz="0" w:space="0" w:color="auto"/>
        <w:right w:val="none" w:sz="0" w:space="0" w:color="auto"/>
      </w:divBdr>
    </w:div>
    <w:div w:id="1702511574">
      <w:bodyDiv w:val="1"/>
      <w:marLeft w:val="0"/>
      <w:marRight w:val="0"/>
      <w:marTop w:val="0"/>
      <w:marBottom w:val="0"/>
      <w:divBdr>
        <w:top w:val="none" w:sz="0" w:space="0" w:color="auto"/>
        <w:left w:val="none" w:sz="0" w:space="0" w:color="auto"/>
        <w:bottom w:val="none" w:sz="0" w:space="0" w:color="auto"/>
        <w:right w:val="none" w:sz="0" w:space="0" w:color="auto"/>
      </w:divBdr>
    </w:div>
    <w:div w:id="183356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1651</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 Henkelman</dc:creator>
  <cp:keywords/>
  <dc:description/>
  <cp:lastModifiedBy>Floris Henkelman</cp:lastModifiedBy>
  <cp:revision>2</cp:revision>
  <dcterms:created xsi:type="dcterms:W3CDTF">2019-04-11T19:17:00Z</dcterms:created>
  <dcterms:modified xsi:type="dcterms:W3CDTF">2019-04-14T18:37:00Z</dcterms:modified>
</cp:coreProperties>
</file>